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74093650"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8114BA">
        <w:rPr>
          <w:rFonts w:asciiTheme="minorHAnsi" w:hAnsiTheme="minorHAnsi" w:cs="Calibri"/>
          <w:b/>
        </w:rPr>
        <w:t xml:space="preserve">Rukavice </w:t>
      </w:r>
      <w:r w:rsidR="00472D89">
        <w:rPr>
          <w:rFonts w:asciiTheme="minorHAnsi" w:hAnsiTheme="minorHAnsi" w:cs="Calibri"/>
          <w:b/>
        </w:rPr>
        <w:t>vyšetřovací</w:t>
      </w:r>
      <w:r w:rsidR="00472D89">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Předmět koupě musí splňovat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EE3F3FB"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95575C" w:rsidRPr="0095575C">
        <w:t xml:space="preserve">na adresu zástupce prodávajícího pro příjem objednávek uvedenou v čl. </w:t>
      </w:r>
      <w:r w:rsidR="0095575C">
        <w:t>III</w:t>
      </w:r>
      <w:r w:rsidR="0095575C" w:rsidRPr="0095575C">
        <w:t>.</w:t>
      </w:r>
      <w:r w:rsidR="0095575C">
        <w:t xml:space="preserve"> odst. 2 </w:t>
      </w:r>
      <w:r w:rsidR="00C40651" w:rsidRPr="002137F3">
        <w:t>či výjimečně telefonicky</w:t>
      </w:r>
      <w:r w:rsidR="0095575C">
        <w:t xml:space="preserve">, </w:t>
      </w:r>
      <w:r w:rsidR="0095575C" w:rsidRPr="0095575C">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02F39BEB"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95575C">
        <w:t xml:space="preserve"> </w:t>
      </w:r>
      <w:r w:rsidR="0095575C" w:rsidRPr="0095575C">
        <w:t>včetně nezbytné průvodní dokumentace</w:t>
      </w:r>
      <w:r w:rsidR="00BD6FD3" w:rsidRPr="00F17C12">
        <w:t>.</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56B13F64"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w:t>
      </w:r>
    </w:p>
    <w:p w14:paraId="017DCE29" w14:textId="04F1E02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22C0D027" w14:textId="36442ACA" w:rsidR="0095575C" w:rsidRDefault="00D80A2C" w:rsidP="0095575C">
      <w:pPr>
        <w:spacing w:after="0" w:line="240" w:lineRule="auto"/>
        <w:ind w:left="705" w:hanging="705"/>
        <w:jc w:val="both"/>
        <w:rPr>
          <w:bCs/>
        </w:rPr>
      </w:pPr>
      <w:r>
        <w:rPr>
          <w:bCs/>
        </w:rPr>
        <w:t>9</w:t>
      </w:r>
      <w:r w:rsidR="00B96767" w:rsidRPr="00B96767">
        <w:rPr>
          <w:bCs/>
        </w:rPr>
        <w:t>.</w:t>
      </w:r>
      <w:r w:rsidR="00B96767">
        <w:rPr>
          <w:b/>
        </w:rPr>
        <w:t xml:space="preserve"> </w:t>
      </w:r>
      <w:r w:rsidR="00B96767">
        <w:rPr>
          <w:b/>
        </w:rPr>
        <w:tab/>
      </w:r>
      <w:r w:rsidR="0095575C" w:rsidRPr="0095575C">
        <w:rPr>
          <w:bCs/>
        </w:rPr>
        <w:t xml:space="preserve">Dodací list </w:t>
      </w:r>
      <w:proofErr w:type="gramStart"/>
      <w:r w:rsidR="0095575C" w:rsidRPr="0095575C">
        <w:rPr>
          <w:bCs/>
        </w:rPr>
        <w:t>slouží</w:t>
      </w:r>
      <w:proofErr w:type="gramEnd"/>
      <w:r w:rsidR="0095575C" w:rsidRPr="0095575C">
        <w:rPr>
          <w:bCs/>
        </w:rPr>
        <w:t xml:space="preserve"> jako doklad o řádném předání a převzetí zboží.</w:t>
      </w:r>
    </w:p>
    <w:p w14:paraId="7242F50F" w14:textId="26A37E28" w:rsidR="00C40651" w:rsidRPr="0095575C" w:rsidRDefault="0095575C" w:rsidP="0095575C">
      <w:pPr>
        <w:spacing w:line="240" w:lineRule="auto"/>
        <w:ind w:left="705" w:hanging="705"/>
        <w:jc w:val="both"/>
        <w:rPr>
          <w:bCs/>
        </w:rPr>
      </w:pPr>
      <w:r>
        <w:rPr>
          <w:bCs/>
        </w:rPr>
        <w:t xml:space="preserve">10. </w:t>
      </w:r>
      <w:r>
        <w:rPr>
          <w:bCs/>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49267C">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3FCA38E" w14:textId="13144862" w:rsidR="0049267C" w:rsidRDefault="0049267C" w:rsidP="00987FCF">
      <w:pPr>
        <w:spacing w:line="240" w:lineRule="auto"/>
        <w:ind w:left="705" w:hanging="705"/>
        <w:jc w:val="both"/>
      </w:pPr>
      <w:r>
        <w:t>5.</w:t>
      </w:r>
      <w:r w:rsidRPr="0049267C">
        <w:tab/>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686BC6B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r w:rsidR="0049267C" w:rsidRPr="0049267C">
        <w:t xml:space="preserve"> </w:t>
      </w:r>
      <w:r w:rsidR="0049267C" w:rsidRPr="0049267C">
        <w:t xml:space="preserve">Adresa </w:t>
      </w:r>
      <w:proofErr w:type="gramStart"/>
      <w:r w:rsidR="0049267C" w:rsidRPr="0049267C">
        <w:t>slouží</w:t>
      </w:r>
      <w:proofErr w:type="gramEnd"/>
      <w:r w:rsidR="0049267C" w:rsidRPr="0049267C">
        <w:t xml:space="preserve">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3B7BE42A" w:rsidR="001B3449" w:rsidRDefault="003874D8" w:rsidP="00862C0B">
      <w:pPr>
        <w:pStyle w:val="Odstavecseseznamem"/>
        <w:numPr>
          <w:ilvl w:val="0"/>
          <w:numId w:val="4"/>
        </w:numPr>
        <w:tabs>
          <w:tab w:val="left" w:pos="709"/>
        </w:tabs>
        <w:spacing w:after="0" w:line="240" w:lineRule="auto"/>
        <w:ind w:left="709" w:hanging="709"/>
        <w:jc w:val="both"/>
      </w:pPr>
      <w:r w:rsidRPr="001F780C">
        <w:lastRenderedPageBreak/>
        <w:t>Prodávající poskytuje kupujícímu záruku za jakost zboží spočívající v tom, že zboží</w:t>
      </w:r>
      <w:r>
        <w:t xml:space="preserve"> </w:t>
      </w:r>
      <w:r w:rsidRPr="001F780C">
        <w:t>bude po záruční dobu</w:t>
      </w:r>
      <w:r w:rsidR="00BC4ECD">
        <w:t xml:space="preserve"> </w:t>
      </w:r>
      <w:r w:rsidR="00BC4ECD" w:rsidRPr="00BC4ECD">
        <w:t>– po dobu trvání jeho expirace</w:t>
      </w:r>
      <w:r w:rsidR="004E1399">
        <w:t xml:space="preserve"> </w:t>
      </w:r>
      <w:r w:rsidRPr="001F780C">
        <w:t>způsobilé pro použití k ujednaným, případně jinak obvyklým účelům a zachová si ujednané, případně jinak obvyklé vlastnosti</w:t>
      </w:r>
      <w:r w:rsidR="00BC4ECD">
        <w:t xml:space="preserve"> </w:t>
      </w:r>
      <w:r w:rsidR="00BC4ECD" w:rsidRPr="00BC4ECD">
        <w:t>pro použití ve zdravotnickém zařízení při poskytování zdravotních služeb</w:t>
      </w:r>
      <w:r>
        <w:t>.</w:t>
      </w:r>
    </w:p>
    <w:p w14:paraId="3BCBD61B" w14:textId="10AD8DC5" w:rsidR="0086701F" w:rsidRPr="0086701F" w:rsidRDefault="000B3F8B" w:rsidP="00862C0B">
      <w:pPr>
        <w:pStyle w:val="Odstavecseseznamem"/>
        <w:numPr>
          <w:ilvl w:val="0"/>
          <w:numId w:val="4"/>
        </w:numPr>
        <w:tabs>
          <w:tab w:val="left" w:pos="709"/>
        </w:tabs>
        <w:spacing w:after="0" w:line="240" w:lineRule="auto"/>
        <w:ind w:left="709" w:hanging="709"/>
        <w:jc w:val="both"/>
      </w:pPr>
      <w:r w:rsidRPr="000B3F8B">
        <w:rPr>
          <w:rFonts w:asciiTheme="minorHAnsi" w:hAnsiTheme="minorHAnsi" w:cstheme="minorHAnsi"/>
        </w:rPr>
        <w:t xml:space="preserve">Prodávající se zavazuje, že doba </w:t>
      </w:r>
      <w:r>
        <w:rPr>
          <w:rFonts w:asciiTheme="minorHAnsi" w:hAnsiTheme="minorHAnsi" w:cstheme="minorHAnsi"/>
        </w:rPr>
        <w:t>expirace</w:t>
      </w:r>
      <w:r w:rsidRPr="000B3F8B">
        <w:rPr>
          <w:rFonts w:asciiTheme="minorHAnsi" w:hAnsiTheme="minorHAnsi" w:cstheme="minorHAnsi"/>
        </w:rPr>
        <w:t xml:space="preserve"> od okamžiku odevzdání předmětu plnění v místě plnění bude činit nejméně </w:t>
      </w:r>
      <w:r>
        <w:rPr>
          <w:rFonts w:asciiTheme="minorHAnsi" w:hAnsiTheme="minorHAnsi" w:cstheme="minorHAnsi"/>
        </w:rPr>
        <w:t>24</w:t>
      </w:r>
      <w:r w:rsidRPr="000B3F8B">
        <w:rPr>
          <w:rFonts w:asciiTheme="minorHAnsi" w:hAnsiTheme="minorHAnsi" w:cstheme="minorHAnsi"/>
        </w:rPr>
        <w:t xml:space="preserve"> měsíců.</w:t>
      </w:r>
    </w:p>
    <w:p w14:paraId="3A0CA11E" w14:textId="3B8FB72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r w:rsidR="000B3F8B">
        <w:t xml:space="preserve"> </w:t>
      </w:r>
      <w:r w:rsidR="000B3F8B" w:rsidRPr="000B3F8B">
        <w:t>(dále jen „reklamace“)</w:t>
      </w:r>
      <w:r w:rsidRPr="001F780C">
        <w:t>.</w:t>
      </w:r>
    </w:p>
    <w:p w14:paraId="20F28A3C" w14:textId="3B81AB6F"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3F8B">
        <w:t>vadného</w:t>
      </w:r>
      <w:r w:rsidRPr="0086701F">
        <w:t xml:space="preserve">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755F40B6"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3F8B">
        <w:rPr>
          <w:rFonts w:asciiTheme="minorHAnsi" w:hAnsiTheme="minorHAnsi" w:cstheme="minorHAnsi"/>
        </w:rPr>
        <w:t>5</w:t>
      </w:r>
      <w:r w:rsidRPr="00440AC0">
        <w:rPr>
          <w:rFonts w:asciiTheme="minorHAnsi" w:hAnsiTheme="minorHAnsi" w:cstheme="minorHAnsi"/>
        </w:rPr>
        <w:t xml:space="preserve"> % z</w:t>
      </w:r>
      <w:r w:rsidR="000B3F8B">
        <w:rPr>
          <w:rFonts w:asciiTheme="minorHAnsi" w:hAnsiTheme="minorHAnsi" w:cstheme="minorHAnsi"/>
        </w:rPr>
        <w:t xml:space="preserve"> kupní</w:t>
      </w:r>
      <w:r w:rsidRPr="00440AC0">
        <w:rPr>
          <w:rFonts w:asciiTheme="minorHAnsi" w:hAnsiTheme="minorHAnsi" w:cstheme="minorHAnsi"/>
        </w:rPr>
        <w:t xml:space="preserve"> ceny </w:t>
      </w:r>
      <w:r w:rsidR="000B3F8B">
        <w:rPr>
          <w:rFonts w:asciiTheme="minorHAnsi" w:hAnsiTheme="minorHAnsi" w:cstheme="minorHAnsi"/>
        </w:rPr>
        <w:t xml:space="preserve">s DPH </w:t>
      </w:r>
      <w:r w:rsidR="000B3F8B" w:rsidRPr="000B3F8B">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17F2E108"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00A1236D">
        <w:rPr>
          <w:rFonts w:asciiTheme="minorHAnsi" w:hAnsiTheme="minorHAnsi" w:cstheme="minorHAnsi"/>
        </w:rPr>
        <w:t xml:space="preserve"> vadného zboží ve lhůtě dle čl. VII. odst. 4.</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0B3F8B">
        <w:rPr>
          <w:rFonts w:asciiTheme="minorHAnsi" w:hAnsiTheme="minorHAnsi" w:cstheme="minorHAnsi"/>
        </w:rPr>
        <w:t>5</w:t>
      </w:r>
      <w:r w:rsidRPr="00440AC0">
        <w:rPr>
          <w:rFonts w:asciiTheme="minorHAnsi" w:hAnsiTheme="minorHAnsi" w:cstheme="minorHAnsi"/>
        </w:rPr>
        <w:t> % z</w:t>
      </w:r>
      <w:r w:rsidR="00A1236D">
        <w:rPr>
          <w:rFonts w:asciiTheme="minorHAnsi" w:hAnsiTheme="minorHAnsi" w:cstheme="minorHAnsi"/>
        </w:rPr>
        <w:t xml:space="preserve"> kupní </w:t>
      </w:r>
      <w:r w:rsidRPr="00440AC0">
        <w:rPr>
          <w:rFonts w:asciiTheme="minorHAnsi" w:hAnsiTheme="minorHAnsi" w:cstheme="minorHAnsi"/>
        </w:rPr>
        <w:t xml:space="preserve">ceny </w:t>
      </w:r>
      <w:r w:rsidR="00A1236D">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sidR="00DA1A09">
        <w:rPr>
          <w:rFonts w:asciiTheme="minorHAnsi" w:hAnsiTheme="minorHAnsi" w:cstheme="minorHAnsi"/>
        </w:rPr>
        <w:t xml:space="preserve"> až do </w:t>
      </w:r>
      <w:r w:rsidR="00DA1A09" w:rsidRPr="00DA1A09">
        <w:rPr>
          <w:rFonts w:asciiTheme="minorHAnsi" w:hAnsiTheme="minorHAnsi" w:cstheme="minorHAnsi"/>
        </w:rPr>
        <w:t>nástupu prodávajícího k řešení reklamace vadného zboží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23EAED20" w14:textId="57C54C76" w:rsidR="00DA1A09" w:rsidRDefault="00DA1A09" w:rsidP="00AB5DC4">
      <w:pPr>
        <w:numPr>
          <w:ilvl w:val="1"/>
          <w:numId w:val="1"/>
        </w:numPr>
        <w:tabs>
          <w:tab w:val="clear" w:pos="720"/>
        </w:tabs>
        <w:spacing w:after="0" w:line="240" w:lineRule="auto"/>
        <w:ind w:left="1134" w:hanging="425"/>
        <w:jc w:val="both"/>
        <w:rPr>
          <w:rFonts w:asciiTheme="minorHAnsi" w:hAnsiTheme="minorHAnsi" w:cstheme="minorHAnsi"/>
        </w:rPr>
      </w:pPr>
      <w:r w:rsidRPr="00DA1A09">
        <w:rPr>
          <w:rFonts w:asciiTheme="minorHAnsi" w:hAnsiTheme="minorHAnsi" w:cstheme="minorHAnsi"/>
        </w:rPr>
        <w:t>splněním všech závazků řádně a včas;</w:t>
      </w:r>
    </w:p>
    <w:p w14:paraId="0F43BE98" w14:textId="7C353C69" w:rsidR="0026372C" w:rsidRPr="00AB5DC4" w:rsidRDefault="00DA1A09" w:rsidP="00AB5DC4">
      <w:pPr>
        <w:numPr>
          <w:ilvl w:val="1"/>
          <w:numId w:val="1"/>
        </w:numPr>
        <w:tabs>
          <w:tab w:val="clear" w:pos="720"/>
        </w:tabs>
        <w:spacing w:after="0" w:line="240" w:lineRule="auto"/>
        <w:ind w:left="1134" w:hanging="425"/>
        <w:jc w:val="both"/>
        <w:rPr>
          <w:rFonts w:asciiTheme="minorHAnsi" w:hAnsiTheme="minorHAnsi" w:cstheme="minorHAnsi"/>
        </w:rPr>
      </w:pPr>
      <w:r w:rsidRPr="00DA1A09">
        <w:rPr>
          <w:rFonts w:asciiTheme="minorHAnsi" w:hAnsiTheme="minorHAnsi" w:cstheme="minorHAnsi"/>
        </w:rPr>
        <w:t>dohodou smluvních stran při vzájemném vyrovnání účelně vynaložených a prokazatelně doložených nákladů ke dni zániku smlouvy;</w:t>
      </w:r>
    </w:p>
    <w:p w14:paraId="34F38305" w14:textId="2F3AEF03" w:rsidR="0026372C" w:rsidRPr="00AB5DC4" w:rsidRDefault="00DA1A09" w:rsidP="00AB5DC4">
      <w:pPr>
        <w:numPr>
          <w:ilvl w:val="1"/>
          <w:numId w:val="1"/>
        </w:numPr>
        <w:tabs>
          <w:tab w:val="clear" w:pos="720"/>
        </w:tabs>
        <w:spacing w:after="0" w:line="240" w:lineRule="auto"/>
        <w:ind w:left="1134" w:hanging="425"/>
        <w:jc w:val="both"/>
        <w:rPr>
          <w:rFonts w:asciiTheme="minorHAnsi" w:hAnsiTheme="minorHAnsi" w:cstheme="minorHAnsi"/>
        </w:rPr>
      </w:pPr>
      <w:r w:rsidRPr="00DA1A09">
        <w:rPr>
          <w:rFonts w:asciiTheme="minorHAnsi" w:hAnsiTheme="minorHAnsi" w:cstheme="minorHAnsi"/>
        </w:rPr>
        <w:t>jednostranným odstoupením od smlouvy pro její podstatné porušení;</w:t>
      </w:r>
    </w:p>
    <w:p w14:paraId="7CF61A53" w14:textId="222DA48B" w:rsidR="00C22C19" w:rsidRPr="00DB12DA" w:rsidRDefault="00DA1A09" w:rsidP="00AB5DC4">
      <w:pPr>
        <w:numPr>
          <w:ilvl w:val="1"/>
          <w:numId w:val="1"/>
        </w:numPr>
        <w:tabs>
          <w:tab w:val="clear" w:pos="720"/>
        </w:tabs>
        <w:spacing w:after="0" w:line="240" w:lineRule="auto"/>
        <w:ind w:left="1134" w:hanging="425"/>
        <w:jc w:val="both"/>
        <w:rPr>
          <w:rFonts w:asciiTheme="minorHAnsi" w:hAnsiTheme="minorHAnsi" w:cstheme="minorHAnsi"/>
        </w:rPr>
      </w:pPr>
      <w:r w:rsidRPr="00DA1A09">
        <w:rPr>
          <w:rFonts w:asciiTheme="minorHAnsi" w:hAnsiTheme="minorHAnsi" w:cstheme="minorHAnsi"/>
        </w:rPr>
        <w:lastRenderedPageBreak/>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1785E3EC" w14:textId="77777777" w:rsidR="004F39A7" w:rsidRPr="004F39A7" w:rsidRDefault="00B9522A" w:rsidP="004F39A7">
      <w:pPr>
        <w:spacing w:after="0" w:line="240" w:lineRule="auto"/>
        <w:ind w:left="705" w:hanging="705"/>
        <w:jc w:val="both"/>
        <w:rPr>
          <w:rFonts w:asciiTheme="minorHAnsi" w:hAnsiTheme="minorHAnsi" w:cstheme="minorHAns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4F39A7" w:rsidRPr="004F39A7">
        <w:rPr>
          <w:rFonts w:asciiTheme="minorHAnsi" w:hAnsiTheme="minorHAnsi" w:cstheme="minorHAnsi"/>
        </w:rPr>
        <w:t>Odstoupení od smlouvy pro podstatné porušení smlouvy se dále řídí ustanovením § 2001 a násl. OZ.</w:t>
      </w:r>
    </w:p>
    <w:p w14:paraId="068580A5" w14:textId="3BBDCA9A" w:rsidR="004F39A7" w:rsidRPr="004F39A7" w:rsidRDefault="004F39A7" w:rsidP="004F39A7">
      <w:pPr>
        <w:spacing w:after="0" w:line="240" w:lineRule="auto"/>
        <w:ind w:left="705" w:hanging="705"/>
        <w:jc w:val="both"/>
        <w:rPr>
          <w:rFonts w:asciiTheme="minorHAnsi" w:hAnsiTheme="minorHAnsi" w:cstheme="minorHAnsi"/>
        </w:rPr>
      </w:pPr>
      <w:r w:rsidRPr="004F39A7">
        <w:rPr>
          <w:rFonts w:asciiTheme="minorHAnsi" w:hAnsiTheme="minorHAnsi" w:cstheme="minorHAnsi"/>
        </w:rPr>
        <w:t>4</w:t>
      </w:r>
      <w:r>
        <w:rPr>
          <w:rFonts w:asciiTheme="minorHAnsi" w:hAnsiTheme="minorHAnsi" w:cstheme="minorHAnsi"/>
        </w:rPr>
        <w:t>.</w:t>
      </w:r>
      <w:r w:rsidRPr="004F39A7">
        <w:rPr>
          <w:rFonts w:asciiTheme="minorHAnsi" w:hAnsiTheme="minorHAnsi" w:cstheme="minorHAnsi"/>
        </w:rPr>
        <w:tab/>
        <w:t>Tato smlouva může být ukončena písemnou výpovědí kterékoliv smluvní strany bez udání důvodu. Výpovědní doba je 3 měsíce a začne běžet od prvého dne měsíce následujícího po doručení výpovědi druhé smluvní straně.</w:t>
      </w:r>
    </w:p>
    <w:p w14:paraId="49E68D92" w14:textId="1784AFFC" w:rsidR="00AB5DC4" w:rsidRPr="00AB5DC4" w:rsidRDefault="004F39A7" w:rsidP="004F39A7">
      <w:pPr>
        <w:spacing w:after="0" w:line="240" w:lineRule="auto"/>
        <w:ind w:left="705" w:hanging="705"/>
        <w:jc w:val="both"/>
        <w:rPr>
          <w:rFonts w:cs="Calibri"/>
        </w:rPr>
      </w:pPr>
      <w:r w:rsidRPr="004F39A7">
        <w:rPr>
          <w:rFonts w:asciiTheme="minorHAnsi" w:hAnsiTheme="minorHAnsi" w:cstheme="minorHAnsi"/>
        </w:rPr>
        <w:t>5</w:t>
      </w:r>
      <w:r>
        <w:rPr>
          <w:rFonts w:asciiTheme="minorHAnsi" w:hAnsiTheme="minorHAnsi" w:cstheme="minorHAnsi"/>
        </w:rPr>
        <w:t>.</w:t>
      </w:r>
      <w:r w:rsidRPr="004F39A7">
        <w:rPr>
          <w:rFonts w:asciiTheme="minorHAnsi" w:hAnsiTheme="minorHAnsi" w:cstheme="minorHAnsi"/>
        </w:rPr>
        <w:tab/>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8601868"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DEC4497" w14:textId="5C1D6C20" w:rsidR="004F39A7" w:rsidRDefault="00862C0B" w:rsidP="00862C0B">
      <w:pPr>
        <w:pStyle w:val="Zkladntextodsazen"/>
        <w:spacing w:after="0" w:line="240" w:lineRule="auto"/>
        <w:jc w:val="both"/>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r w:rsidR="004F39A7" w:rsidRPr="004F39A7">
        <w:rPr>
          <w:rFonts w:asciiTheme="minorHAnsi" w:hAnsiTheme="minorHAnsi" w:cstheme="minorHAnsi"/>
          <w:sz w:val="22"/>
          <w:szCs w:val="22"/>
        </w:rPr>
        <w:t xml:space="preserve">Tato smlouva se uzavírá na </w:t>
      </w:r>
      <w:r w:rsidR="004F39A7" w:rsidRPr="004F39A7">
        <w:rPr>
          <w:rFonts w:asciiTheme="minorHAnsi" w:hAnsiTheme="minorHAnsi" w:cstheme="minorHAnsi"/>
          <w:b/>
          <w:bCs/>
          <w:sz w:val="22"/>
          <w:szCs w:val="22"/>
        </w:rPr>
        <w:t>dobu dvou let</w:t>
      </w:r>
      <w:r w:rsidR="004F39A7" w:rsidRPr="004F39A7">
        <w:rPr>
          <w:rFonts w:asciiTheme="minorHAnsi" w:hAnsiTheme="minorHAnsi" w:cstheme="minorHAnsi"/>
          <w:sz w:val="22"/>
          <w:szCs w:val="22"/>
        </w:rPr>
        <w:t xml:space="preserve"> od nabytí účinnosti této smlouvy.</w:t>
      </w:r>
    </w:p>
    <w:p w14:paraId="631AB68D" w14:textId="17E1F0C6" w:rsidR="00067825" w:rsidRPr="001F780C" w:rsidRDefault="004F39A7" w:rsidP="00862C0B">
      <w:pPr>
        <w:pStyle w:val="Zkladntextodsazen"/>
        <w:spacing w:after="0" w:line="240" w:lineRule="auto"/>
        <w:jc w:val="both"/>
        <w:rPr>
          <w:sz w:val="22"/>
          <w:szCs w:val="22"/>
        </w:rPr>
      </w:pPr>
      <w:r>
        <w:rPr>
          <w:rFonts w:asciiTheme="minorHAnsi" w:hAnsiTheme="minorHAnsi" w:cstheme="minorHAnsi"/>
          <w:sz w:val="22"/>
          <w:szCs w:val="22"/>
        </w:rPr>
        <w:t>5.</w:t>
      </w:r>
      <w:r>
        <w:rPr>
          <w:rFonts w:asciiTheme="minorHAnsi" w:hAnsiTheme="minorHAnsi" w:cstheme="minorHAnsi"/>
          <w:sz w:val="22"/>
          <w:szCs w:val="22"/>
        </w:rPr>
        <w:tab/>
      </w:r>
      <w:r w:rsidR="00862C0B" w:rsidRPr="00B13F28">
        <w:rPr>
          <w:rFonts w:asciiTheme="minorHAnsi" w:hAnsiTheme="minorHAnsi" w:cstheme="minorHAnsi"/>
          <w:sz w:val="22"/>
          <w:szCs w:val="22"/>
        </w:rPr>
        <w:t xml:space="preserve">Tato smlouva nabývá platnosti dnem podpisu </w:t>
      </w:r>
      <w:r w:rsidR="00862C0B">
        <w:rPr>
          <w:rFonts w:asciiTheme="minorHAnsi" w:hAnsiTheme="minorHAnsi" w:cstheme="minorHAnsi"/>
          <w:sz w:val="22"/>
          <w:szCs w:val="22"/>
        </w:rPr>
        <w:t>oběma smluvními stranami.</w:t>
      </w:r>
    </w:p>
    <w:p w14:paraId="3A55D792" w14:textId="6574D4D1" w:rsidR="00862C0B" w:rsidRDefault="004F39A7" w:rsidP="00862C0B">
      <w:pPr>
        <w:pStyle w:val="Zkladntextodsazen"/>
        <w:spacing w:after="0" w:line="240" w:lineRule="auto"/>
        <w:ind w:left="709" w:hanging="709"/>
        <w:jc w:val="both"/>
        <w:rPr>
          <w:rFonts w:cs="Calibri"/>
          <w:sz w:val="22"/>
          <w:szCs w:val="22"/>
        </w:rPr>
      </w:pPr>
      <w:r>
        <w:rPr>
          <w:bCs/>
          <w:sz w:val="22"/>
          <w:szCs w:val="22"/>
        </w:rPr>
        <w:t>6</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220673A3" w:rsidR="00067825" w:rsidRPr="001F780C" w:rsidRDefault="004F39A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46A5260F" w:rsidR="00067825" w:rsidRPr="001F780C" w:rsidRDefault="004F39A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w:t>
      </w:r>
      <w:r w:rsidR="00067825" w:rsidRPr="001F780C">
        <w:rPr>
          <w:sz w:val="22"/>
          <w:szCs w:val="22"/>
        </w:rPr>
        <w:lastRenderedPageBreak/>
        <w:t>v tomto případě zavazují dohodou nahradit ustanovení neplatné či neúčinné novým ustanovením platným či účinným, které svým obsahem a smyslem nejlépe odpovídá původnímu ustanovení a této smlouvě jako celku.</w:t>
      </w:r>
    </w:p>
    <w:p w14:paraId="7DC1A1F0" w14:textId="6E47796E" w:rsidR="00067825" w:rsidRPr="001F780C" w:rsidRDefault="004F39A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46CDB885" w:rsidR="0026372C" w:rsidRDefault="004F39A7"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3F8B"/>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72D89"/>
    <w:rsid w:val="00482FFC"/>
    <w:rsid w:val="00487DF0"/>
    <w:rsid w:val="004922D4"/>
    <w:rsid w:val="0049267C"/>
    <w:rsid w:val="004A110E"/>
    <w:rsid w:val="004E1399"/>
    <w:rsid w:val="004E1B17"/>
    <w:rsid w:val="004F39A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5575C"/>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236D"/>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C4ECD"/>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4559"/>
    <w:rsid w:val="00D449DA"/>
    <w:rsid w:val="00D52433"/>
    <w:rsid w:val="00D60552"/>
    <w:rsid w:val="00D70C75"/>
    <w:rsid w:val="00D80A2C"/>
    <w:rsid w:val="00D93478"/>
    <w:rsid w:val="00D94B2E"/>
    <w:rsid w:val="00DA1A09"/>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8</Pages>
  <Words>3154</Words>
  <Characters>18612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38</cp:revision>
  <dcterms:created xsi:type="dcterms:W3CDTF">2022-05-24T07:38:00Z</dcterms:created>
  <dcterms:modified xsi:type="dcterms:W3CDTF">2023-12-04T00:54:00Z</dcterms:modified>
</cp:coreProperties>
</file>